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E" w:rsidRDefault="007B5815">
      <w:pPr>
        <w:widowControl/>
        <w:spacing w:line="276" w:lineRule="auto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Доклад на тему: </w:t>
      </w:r>
    </w:p>
    <w:p w:rsidR="00AA533E" w:rsidRDefault="007B5815">
      <w:pPr>
        <w:widowControl/>
        <w:spacing w:line="276" w:lineRule="auto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Требования к вводу в эксплуатацию законченного строительством объекта сети газопотребления, имеющего в своем составе тепловые энергоустановки.</w:t>
      </w:r>
    </w:p>
    <w:p w:rsidR="00AA533E" w:rsidRDefault="00AA5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33E" w:rsidRDefault="00E8570D">
      <w:pPr>
        <w:spacing w:line="360" w:lineRule="auto"/>
        <w:ind w:firstLine="68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5815">
        <w:rPr>
          <w:rFonts w:ascii="Times New Roman" w:hAnsi="Times New Roman" w:cs="Times New Roman"/>
          <w:sz w:val="28"/>
          <w:szCs w:val="28"/>
        </w:rPr>
        <w:t xml:space="preserve">оклад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B5815">
        <w:rPr>
          <w:rFonts w:ascii="Times New Roman" w:hAnsi="Times New Roman" w:cs="Times New Roman"/>
          <w:sz w:val="28"/>
          <w:szCs w:val="28"/>
        </w:rPr>
        <w:t xml:space="preserve">начать с определений установленных </w:t>
      </w:r>
      <w:r w:rsidR="007B5815">
        <w:rPr>
          <w:rFonts w:ascii="Times New Roman" w:hAnsi="Times New Roman" w:cs="Times New Roman"/>
          <w:sz w:val="28"/>
          <w:szCs w:val="28"/>
        </w:rPr>
        <w:t>«Техническим регламентом о безопасности сетей газораспределения и газопотребления», утвержденного Постановлением Правительства РФ от 29 октября 2010 года № 870.</w:t>
      </w:r>
    </w:p>
    <w:p w:rsidR="00AA533E" w:rsidRDefault="007B5815">
      <w:pPr>
        <w:spacing w:line="360" w:lineRule="auto"/>
        <w:ind w:firstLine="68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"сеть газораспределения" - единый производственно-технологический комплекс, включающий в себя н</w:t>
      </w:r>
      <w:r>
        <w:rPr>
          <w:rFonts w:ascii="Times New Roman" w:hAnsi="Times New Roman" w:cs="Times New Roman"/>
          <w:sz w:val="28"/>
          <w:szCs w:val="28"/>
        </w:rPr>
        <w:t xml:space="preserve">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</w:t>
      </w:r>
      <w:r>
        <w:rPr>
          <w:rFonts w:ascii="Times New Roman" w:hAnsi="Times New Roman" w:cs="Times New Roman"/>
          <w:sz w:val="28"/>
          <w:szCs w:val="28"/>
        </w:rPr>
        <w:t xml:space="preserve">до отключающего устройства, расположенного на границе сети газораспределения и сети газопотребления (в том числе сети газопотребления жилых зданий); </w:t>
      </w:r>
    </w:p>
    <w:p w:rsidR="00AA533E" w:rsidRDefault="007B5815">
      <w:pPr>
        <w:spacing w:line="360" w:lineRule="auto"/>
        <w:ind w:firstLine="68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"сеть газопотребления" - единый производственно-технологический комплекс, включающий в себя наружные и вну</w:t>
      </w:r>
      <w:r>
        <w:rPr>
          <w:rFonts w:ascii="Times New Roman" w:hAnsi="Times New Roman" w:cs="Times New Roman"/>
          <w:sz w:val="28"/>
          <w:szCs w:val="28"/>
        </w:rPr>
        <w:t>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</w:t>
      </w:r>
      <w:r>
        <w:rPr>
          <w:rFonts w:ascii="Times New Roman" w:hAnsi="Times New Roman" w:cs="Times New Roman"/>
          <w:sz w:val="28"/>
          <w:szCs w:val="28"/>
        </w:rPr>
        <w:t xml:space="preserve">нице сети газораспределения и сети газопотребления, до отключающего устройства перед газоиспользующим оборудованием. </w:t>
      </w:r>
    </w:p>
    <w:p w:rsidR="00AA533E" w:rsidRDefault="007B5815">
      <w:pPr>
        <w:spacing w:line="360" w:lineRule="auto"/>
        <w:ind w:firstLine="68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соответствия сети газораспределения и сети газопотребления требованиям вышеупомянутого технического регламента осуществляется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 следующих формах:</w:t>
      </w:r>
    </w:p>
    <w:p w:rsidR="00AA533E" w:rsidRDefault="007B5815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(включая инженерные изыскания) сетей газораспределения и газопотребления - экспертиза проектной документации и результатов инженерных изысканий в соответствии с законодательством о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A533E" w:rsidRDefault="007B5815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</w:p>
    <w:p w:rsidR="00AA533E" w:rsidRDefault="007B5815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строительстве, эксплуатации (включая техническое обслуживание и текущий ремонт), 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и, капитальном ремонте, монтаже, консервации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 сетей газораспределения и газопотребления - государственный контроль (надзор).</w:t>
      </w:r>
    </w:p>
    <w:p w:rsidR="00AA533E" w:rsidRDefault="007B581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Приемка сетей газораспределения и газопотребления осуществляется приемочной комиссией, создаваемой застройщиком или инв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естором, в состав которой входят представители:</w:t>
      </w:r>
    </w:p>
    <w:p w:rsidR="00AA533E" w:rsidRDefault="007B5815">
      <w:pPr>
        <w:pStyle w:val="s1"/>
        <w:spacing w:beforeAutospacing="0" w:afterAutospacing="0" w:line="36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а) застройщика;</w:t>
      </w:r>
    </w:p>
    <w:p w:rsidR="00AA533E" w:rsidRDefault="007B5815">
      <w:pPr>
        <w:pStyle w:val="s1"/>
        <w:spacing w:beforeAutospacing="0" w:afterAutospacing="0" w:line="36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б) строительной организации;</w:t>
      </w:r>
    </w:p>
    <w:p w:rsidR="00AA533E" w:rsidRDefault="007B5815">
      <w:pPr>
        <w:pStyle w:val="s1"/>
        <w:spacing w:beforeAutospacing="0" w:afterAutospacing="0" w:line="36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в) проектной организации;</w:t>
      </w:r>
    </w:p>
    <w:p w:rsidR="00AA533E" w:rsidRDefault="007B5815">
      <w:pPr>
        <w:pStyle w:val="s1"/>
        <w:spacing w:beforeAutospacing="0" w:afterAutospacing="0" w:line="36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г) эксплуатационной организации;</w:t>
      </w:r>
    </w:p>
    <w:p w:rsidR="00AA533E" w:rsidRDefault="007B5815">
      <w:pPr>
        <w:pStyle w:val="s1"/>
        <w:spacing w:beforeAutospacing="0" w:afterAutospacing="0" w:line="360" w:lineRule="auto"/>
        <w:jc w:val="both"/>
      </w:pPr>
      <w:r>
        <w:rPr>
          <w:sz w:val="28"/>
          <w:szCs w:val="28"/>
          <w:lang w:bidi="ar-SA"/>
        </w:rPr>
        <w:t xml:space="preserve">д) федерального органа исполнительной власти, осуществляющего государственный контроль в области охраны </w:t>
      </w:r>
      <w:r>
        <w:rPr>
          <w:sz w:val="28"/>
          <w:szCs w:val="28"/>
          <w:lang w:bidi="ar-SA"/>
        </w:rPr>
        <w:t xml:space="preserve">окружающей среды (в случаях, предусмотренных </w:t>
      </w:r>
      <w:hyperlink r:id="rId7" w:anchor="block_5407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частью 7 статьи 54</w:t>
        </w:r>
      </w:hyperlink>
      <w:r>
        <w:rPr>
          <w:sz w:val="28"/>
          <w:szCs w:val="28"/>
          <w:lang w:bidi="ar-SA"/>
        </w:rPr>
        <w:t xml:space="preserve"> Градостроительного кодекса Российской Федерации);</w:t>
      </w:r>
    </w:p>
    <w:p w:rsidR="00AA533E" w:rsidRDefault="007B5815">
      <w:pPr>
        <w:pStyle w:val="s1"/>
        <w:spacing w:beforeAutospacing="0" w:afterAutospacing="0" w:line="360" w:lineRule="auto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е) федерального органа исполнительной власти,</w:t>
      </w:r>
      <w:r>
        <w:rPr>
          <w:sz w:val="28"/>
          <w:szCs w:val="28"/>
          <w:lang w:bidi="ar-SA"/>
        </w:rPr>
        <w:t xml:space="preserve"> уполномоченного</w:t>
      </w:r>
      <w:r>
        <w:rPr>
          <w:sz w:val="28"/>
          <w:szCs w:val="28"/>
          <w:lang w:bidi="ar-SA"/>
        </w:rPr>
        <w:br/>
        <w:t>на осуществление государственного строительного надзора;</w:t>
      </w:r>
    </w:p>
    <w:p w:rsidR="00AA533E" w:rsidRDefault="007B5815">
      <w:pPr>
        <w:pStyle w:val="s1"/>
        <w:spacing w:beforeAutospacing="0" w:afterAutospacing="0" w:line="360" w:lineRule="auto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ж) федерального органа исполнительной власти, осуществляющего функции </w:t>
      </w:r>
      <w:r>
        <w:rPr>
          <w:sz w:val="28"/>
          <w:szCs w:val="28"/>
        </w:rPr>
        <w:br/>
        <w:t>по контролю (надзору) в сфере промышленной безопасности.</w:t>
      </w:r>
    </w:p>
    <w:p w:rsidR="00AA533E" w:rsidRDefault="007B581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пунктом 92 Технического регламента 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безопасности сетей газораспределения и газопотребления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AA533E" w:rsidRDefault="007B581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Приемка сети газопотребления после строительства либо реконструкции ос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уществляется по завершении строительных и монтажных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а также пусконаладочных работ и комплексного опробования газоиспользующего оборудования.</w:t>
      </w:r>
    </w:p>
    <w:p w:rsidR="00AA533E" w:rsidRDefault="007B581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Документальным подтверждением соответствия построенных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или реконструированных сетей газораспределения и газо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потребления требованиям, установленным Техническим регламентом о безопасности сетей газораспределения и газопотребленияи иными техническими регламентами, является акт приемки, который подписывается всеми членами приемочной комиссии.</w:t>
      </w:r>
    </w:p>
    <w:p w:rsidR="00AA533E" w:rsidRDefault="007B581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Пунктом 95 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регламента о безопасности сетей газозаспределения и газопотребления установлен исчерпывающий перечень документов и материалов, представляемых строительной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при приемке сетей газораспределения и газопотребления, одним из которых является акт 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результатах пусконаладочных работ и комплексном опробовании газоиспользующего оборудования.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30 января 2021 г. </w:t>
      </w:r>
      <w:r w:rsidR="00E8570D">
        <w:rPr>
          <w:rFonts w:ascii="Times New Roman" w:hAnsi="Times New Roman"/>
          <w:sz w:val="28"/>
          <w:szCs w:val="28"/>
        </w:rPr>
        <w:t>№85 «</w:t>
      </w:r>
      <w:r>
        <w:rPr>
          <w:rFonts w:ascii="Times New Roman" w:hAnsi="Times New Roman"/>
          <w:sz w:val="28"/>
          <w:szCs w:val="28"/>
        </w:rPr>
        <w:t xml:space="preserve">Об утверждении Правил выдачи разрешений на допуск в эксплуатацию энергопринимающих </w:t>
      </w:r>
      <w:r>
        <w:rPr>
          <w:rFonts w:ascii="Times New Roman" w:hAnsi="Times New Roman"/>
          <w:sz w:val="28"/>
          <w:szCs w:val="28"/>
        </w:rPr>
        <w:t xml:space="preserve">установок потребителей электрической энергии, объектов </w:t>
      </w:r>
      <w:r w:rsidR="00E857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</w:t>
      </w:r>
      <w:r>
        <w:rPr>
          <w:rFonts w:ascii="Times New Roman" w:hAnsi="Times New Roman"/>
          <w:sz w:val="28"/>
          <w:szCs w:val="28"/>
        </w:rPr>
        <w:t>ии</w:t>
      </w:r>
      <w:r w:rsidR="00E85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вновь вводимых </w:t>
      </w:r>
      <w:r w:rsidR="00E857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эксплуатацию или реконструированных объектов теплоснабжения (источников тепловой энергии, тепловых сетей) и (или) теплопотребляющих установок требуется получение разрешение на допуск в эксплуатацию.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допуск про</w:t>
      </w:r>
      <w:r>
        <w:rPr>
          <w:rFonts w:ascii="Times New Roman" w:hAnsi="Times New Roman"/>
          <w:sz w:val="28"/>
          <w:szCs w:val="28"/>
        </w:rPr>
        <w:t xml:space="preserve">изводится на основании заявления </w:t>
      </w:r>
      <w:r w:rsidR="00E857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проведении осмотра и выдачи разрешения на допуск, поданного юридическим или физическим лицом, владеющим допускаемым объектом на праве собственности или ином законном основании, или иным лицом, которому предоставлено право</w:t>
      </w:r>
      <w:r>
        <w:rPr>
          <w:rFonts w:ascii="Times New Roman" w:hAnsi="Times New Roman"/>
          <w:sz w:val="28"/>
          <w:szCs w:val="28"/>
        </w:rPr>
        <w:t xml:space="preserve"> действовать от имени этого юридического или физического лица.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объекта теплоснабжения, теплопотребляющей установки к заявлению </w:t>
      </w:r>
      <w:r w:rsidR="00E857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выдаче разрешения на допуск прилагаются документы предусмотренные </w:t>
      </w:r>
      <w:r w:rsidR="00E857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п.17 </w:t>
      </w:r>
      <w:r w:rsidR="00E857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E8570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РФ от 30 января 2021 г.</w:t>
      </w:r>
      <w:r w:rsidR="00E857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85. 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получение временного разрешения для проведения комплексного опробования и пусконаладочных работ в отношении допускаемых объектов, предусматривающих подключение таких объектов к системе теплоснабжения, подачу тепловой энергии и теплоно</w:t>
      </w:r>
      <w:r>
        <w:rPr>
          <w:rFonts w:ascii="Times New Roman" w:hAnsi="Times New Roman"/>
          <w:sz w:val="28"/>
          <w:szCs w:val="28"/>
        </w:rPr>
        <w:t xml:space="preserve">сителя. Срок действия временного разрешения составляет 180 дней. В случае  проведения комплексного опробования и пусконаладочных работ в более ранние сроки заявитель вправе обратиться за получением разрешения на допуск в эксплуатацию тепловых </w:t>
      </w:r>
      <w:r>
        <w:rPr>
          <w:rFonts w:ascii="Times New Roman" w:hAnsi="Times New Roman"/>
          <w:sz w:val="28"/>
          <w:szCs w:val="28"/>
        </w:rPr>
        <w:lastRenderedPageBreak/>
        <w:t>энергоустанов</w:t>
      </w:r>
      <w:r>
        <w:rPr>
          <w:rFonts w:ascii="Times New Roman" w:hAnsi="Times New Roman"/>
          <w:sz w:val="28"/>
          <w:szCs w:val="28"/>
        </w:rPr>
        <w:t>ок по постоянной схеме не дожидаясь истечения срока действия временного разрешения.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о выдаче разрешения на допуск на бумажном носителе орган федерального государственного энергетического надзора не позднее 5 рабочих дней со дня его пос</w:t>
      </w:r>
      <w:r>
        <w:rPr>
          <w:rFonts w:ascii="Times New Roman" w:hAnsi="Times New Roman"/>
          <w:sz w:val="28"/>
          <w:szCs w:val="28"/>
        </w:rPr>
        <w:t>тупления направляет заявителю уведомление посредством заказного почтового отправления с уведомлением о вручении: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приеме заявления о выдаче разрешения на допуск к рассмотрению и предлагаемых дате  и времени осмотра допускаемого объекта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оставлении за</w:t>
      </w:r>
      <w:r>
        <w:rPr>
          <w:rFonts w:ascii="Times New Roman" w:hAnsi="Times New Roman"/>
          <w:sz w:val="28"/>
          <w:szCs w:val="28"/>
        </w:rPr>
        <w:t xml:space="preserve">явления о выдаче разрешения на допуск без рассмотрения до представления недостающих документов. 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заявителем заявления по установленной форме и  документов в объеме, соответствующем требованиям, установленных пунктом 17  Правил, в т</w:t>
      </w:r>
      <w:r>
        <w:rPr>
          <w:rFonts w:ascii="Times New Roman" w:hAnsi="Times New Roman"/>
          <w:sz w:val="28"/>
          <w:szCs w:val="28"/>
        </w:rPr>
        <w:t>ечение 10 рабочих дней со дня получения уведомления, орган федерального государственного энергетического надзора направляет заявителю уведомление об оставлении заявления о выдаче разрешения на допуск без рассмотрения и возвращает заявителю представленные д</w:t>
      </w:r>
      <w:r>
        <w:rPr>
          <w:rFonts w:ascii="Times New Roman" w:hAnsi="Times New Roman"/>
          <w:sz w:val="28"/>
          <w:szCs w:val="28"/>
        </w:rPr>
        <w:t xml:space="preserve">окументы. 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ие пусконаладочных р</w:t>
      </w:r>
      <w:r w:rsidR="00E8570D">
        <w:rPr>
          <w:rFonts w:ascii="Times New Roman" w:hAnsi="Times New Roman"/>
          <w:sz w:val="28"/>
          <w:szCs w:val="28"/>
        </w:rPr>
        <w:t>абот и комплексного опробования</w:t>
      </w:r>
      <w:r w:rsidR="00E857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тепловых энергоустановках осуществляется специализированными организациями. Особое внимание хотелось бы обратить на наличие в штате специализированной организации квалифицированног</w:t>
      </w:r>
      <w:r>
        <w:rPr>
          <w:rFonts w:ascii="Times New Roman" w:hAnsi="Times New Roman"/>
          <w:sz w:val="28"/>
          <w:szCs w:val="28"/>
        </w:rPr>
        <w:t>о теплоэнергетического персонала, включающего в себя оперативно-ремонтный персонал, лицо ответственное за исправное состояние и безопасную эксплуатацию объекта теплоснабжения или теплопотребляющей установки, назначенных распорядительным документом по орган</w:t>
      </w:r>
      <w:r>
        <w:rPr>
          <w:rFonts w:ascii="Times New Roman" w:hAnsi="Times New Roman"/>
          <w:sz w:val="28"/>
          <w:szCs w:val="28"/>
        </w:rPr>
        <w:t xml:space="preserve">изации, прошедших ежегодную проверку </w:t>
      </w:r>
      <w:r>
        <w:rPr>
          <w:rFonts w:ascii="Times New Roman" w:hAnsi="Times New Roman"/>
          <w:sz w:val="28"/>
          <w:szCs w:val="28"/>
        </w:rPr>
        <w:t>знаний Правил технической эксплуатации тепловых энергоустановок. Кроме этого, организация приступающая к проведению  комплексного опробования и пусконаладо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чных работ должна осуществлять проведение работ в соотв</w:t>
      </w:r>
      <w:r>
        <w:rPr>
          <w:rFonts w:ascii="Times New Roman" w:hAnsi="Times New Roman"/>
          <w:sz w:val="28"/>
          <w:szCs w:val="28"/>
        </w:rPr>
        <w:t xml:space="preserve">етствии с утвержденной программой. Программа (методика) проведения теплотехнических испытаний, инструментальных измерений и других диагностических работ на тепловых энергоустановках, в соответствии с п. 2.6.5 ПТЭТЭ должна быть </w:t>
      </w:r>
      <w:r>
        <w:rPr>
          <w:rFonts w:ascii="Times New Roman" w:hAnsi="Times New Roman"/>
          <w:sz w:val="28"/>
          <w:szCs w:val="28"/>
        </w:rPr>
        <w:lastRenderedPageBreak/>
        <w:t>согласована в органах государ</w:t>
      </w:r>
      <w:r>
        <w:rPr>
          <w:rFonts w:ascii="Times New Roman" w:hAnsi="Times New Roman"/>
          <w:sz w:val="28"/>
          <w:szCs w:val="28"/>
        </w:rPr>
        <w:t>ственного энергетического надзора.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развития газоснабжения и газификации территориальным отделом </w:t>
      </w:r>
      <w:r>
        <w:rPr>
          <w:rFonts w:ascii="Times New Roman" w:hAnsi="Times New Roman" w:cs="Times New Roman"/>
          <w:sz w:val="28"/>
          <w:szCs w:val="28"/>
        </w:rPr>
        <w:t>технологического и энергетического надзора                              по Республике Мордовия Волжско-Окского управления Ростехна</w:t>
      </w:r>
      <w:r>
        <w:rPr>
          <w:rFonts w:ascii="Times New Roman" w:hAnsi="Times New Roman" w:cs="Times New Roman"/>
          <w:sz w:val="28"/>
          <w:szCs w:val="28"/>
        </w:rPr>
        <w:t xml:space="preserve">дзора за 2022 год и 5 месяцев 2023 года </w:t>
      </w:r>
      <w:r>
        <w:rPr>
          <w:rFonts w:ascii="Times New Roman" w:hAnsi="Times New Roman"/>
          <w:sz w:val="28"/>
          <w:szCs w:val="28"/>
        </w:rPr>
        <w:t xml:space="preserve">принято участие в 364 комиссиях по приемке сетей </w:t>
      </w:r>
      <w:r>
        <w:rPr>
          <w:rFonts w:ascii="Times New Roman" w:hAnsi="Times New Roman" w:cs="Times New Roman"/>
          <w:sz w:val="28"/>
          <w:szCs w:val="28"/>
        </w:rPr>
        <w:t xml:space="preserve">газораспределения и газопотребления. 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систематически осуществляется анализ реестра опасных производственных объектов, а также реестра выданных лицензий на </w:t>
      </w:r>
      <w:r>
        <w:rPr>
          <w:rFonts w:ascii="Times New Roman" w:hAnsi="Times New Roman" w:cs="Times New Roman"/>
          <w:sz w:val="28"/>
          <w:szCs w:val="28"/>
        </w:rPr>
        <w:t>эксплуатацию взрывопожароопасных и химически опасных производственных объектов I, II и III классов опасности.</w:t>
      </w:r>
    </w:p>
    <w:p w:rsidR="00AA533E" w:rsidRDefault="007B5815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информация в государственном реестре опасных </w:t>
      </w:r>
      <w:r>
        <w:rPr>
          <w:rFonts w:ascii="Times New Roman" w:hAnsi="Times New Roman"/>
          <w:sz w:val="28"/>
          <w:szCs w:val="28"/>
        </w:rPr>
        <w:t>производственных объектов свидетельствует о том, что эксплуатирующие организации зачаст</w:t>
      </w:r>
      <w:r>
        <w:rPr>
          <w:rFonts w:ascii="Times New Roman" w:hAnsi="Times New Roman"/>
          <w:sz w:val="28"/>
          <w:szCs w:val="28"/>
        </w:rPr>
        <w:t>ую не обеспечивают своевременную регистрацию                            в государственном реестре вновь введенных объектов или не инициируют внесение изменений в сведения, характеризующие опасный производственный объект, ранее зарегистрированных ОПО.</w:t>
      </w:r>
    </w:p>
    <w:p w:rsidR="00AA533E" w:rsidRDefault="007B5815">
      <w:pPr>
        <w:pStyle w:val="a9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изациям, осуществляющим эксплуатацию опасных производственных объектов, принятых приемочной комиссией направлено информационное письмо                  с разъяснением о необходимости и своевременности регистрации в государственном реестре опасных производс</w:t>
      </w:r>
      <w:r>
        <w:rPr>
          <w:rFonts w:ascii="Times New Roman" w:hAnsi="Times New Roman"/>
          <w:sz w:val="28"/>
          <w:szCs w:val="28"/>
        </w:rPr>
        <w:t>твенных объектов, о заключении договоров на техническое и аварийно-диспетчерское обслуживание, обязательном страховании. Проведено совещание с представителями АО «Газпром газораспределение Саранск» по вопросам своевременной регистрация принятых сетей газор</w:t>
      </w:r>
      <w:r>
        <w:rPr>
          <w:rFonts w:ascii="Times New Roman" w:hAnsi="Times New Roman"/>
          <w:sz w:val="28"/>
          <w:szCs w:val="28"/>
        </w:rPr>
        <w:t>аспределения и газопотребления в  государственном реестре опасных производственных объектов.</w:t>
      </w:r>
    </w:p>
    <w:p w:rsidR="00AA533E" w:rsidRDefault="007B5815">
      <w:pPr>
        <w:pStyle w:val="Default"/>
        <w:spacing w:line="336" w:lineRule="auto"/>
        <w:ind w:firstLine="851"/>
        <w:jc w:val="both"/>
        <w:rPr>
          <w:rFonts w:eastAsia="Liberation Mono" w:cs="Iosevka Term SS03"/>
          <w:color w:val="auto"/>
          <w:sz w:val="28"/>
          <w:szCs w:val="28"/>
          <w:lang w:eastAsia="zh-CN" w:bidi="hi-IN"/>
        </w:rPr>
      </w:pPr>
      <w:r>
        <w:rPr>
          <w:rFonts w:eastAsia="Liberation Mono" w:cs="Iosevka Term SS03"/>
          <w:color w:val="auto"/>
          <w:sz w:val="28"/>
          <w:szCs w:val="28"/>
          <w:lang w:eastAsia="zh-CN" w:bidi="hi-IN"/>
        </w:rPr>
        <w:t xml:space="preserve">По результатам анализа объектов сетей газораспределения </w:t>
      </w:r>
      <w:r w:rsidR="00E8570D">
        <w:rPr>
          <w:rFonts w:eastAsia="Liberation Mono" w:cs="Iosevka Term SS03"/>
          <w:color w:val="auto"/>
          <w:sz w:val="28"/>
          <w:szCs w:val="28"/>
          <w:lang w:eastAsia="zh-CN" w:bidi="hi-IN"/>
        </w:rPr>
        <w:br/>
      </w:r>
      <w:r>
        <w:rPr>
          <w:rFonts w:eastAsia="Liberation Mono" w:cs="Iosevka Term SS03"/>
          <w:color w:val="auto"/>
          <w:sz w:val="28"/>
          <w:szCs w:val="28"/>
          <w:lang w:eastAsia="zh-CN" w:bidi="hi-IN"/>
        </w:rPr>
        <w:t>и газопотребления в 2023 году были выявлены организации осуществляющие эксплуатацию опасных производственны</w:t>
      </w:r>
      <w:r>
        <w:rPr>
          <w:rFonts w:eastAsia="Liberation Mono" w:cs="Iosevka Term SS03"/>
          <w:color w:val="auto"/>
          <w:sz w:val="28"/>
          <w:szCs w:val="28"/>
          <w:lang w:eastAsia="zh-CN" w:bidi="hi-IN"/>
        </w:rPr>
        <w:t xml:space="preserve">х объектов без лицензии на эксплуатацию взрывопожароопасных и химически опасных производственных объектов I, II и III классов опасности. В Прокуратуру и МВД направлены сведения об опасных </w:t>
      </w:r>
      <w:r>
        <w:rPr>
          <w:rFonts w:eastAsia="Liberation Mono" w:cs="Iosevka Term SS03"/>
          <w:color w:val="auto"/>
          <w:sz w:val="28"/>
          <w:szCs w:val="28"/>
          <w:lang w:eastAsia="zh-CN" w:bidi="hi-IN"/>
        </w:rPr>
        <w:lastRenderedPageBreak/>
        <w:t>производственных объектах, владельцы которых не имеют лицензии на эк</w:t>
      </w:r>
      <w:r>
        <w:rPr>
          <w:rFonts w:eastAsia="Liberation Mono" w:cs="Iosevka Term SS03"/>
          <w:color w:val="auto"/>
          <w:sz w:val="28"/>
          <w:szCs w:val="28"/>
          <w:lang w:eastAsia="zh-CN" w:bidi="hi-IN"/>
        </w:rPr>
        <w:t xml:space="preserve">сплуатацию ОПО, также было объявлено 50 предостережений о недопустимости нарушения обязательных требований в отношении сетей газораспределения и газопотребления. Проведена внеплановая проверка организации эксплуатирующей 3 опасных производственных объекта </w:t>
      </w:r>
      <w:r>
        <w:rPr>
          <w:rFonts w:eastAsia="Liberation Mono" w:cs="Iosevka Term SS03"/>
          <w:color w:val="auto"/>
          <w:sz w:val="28"/>
          <w:szCs w:val="28"/>
          <w:lang w:eastAsia="zh-CN" w:bidi="hi-IN"/>
        </w:rPr>
        <w:t xml:space="preserve">без лицензии на эксплуатацию взрывопожароопасных и химически опасных производственных объектов I, II и III классов опасности. </w:t>
      </w:r>
    </w:p>
    <w:p w:rsidR="00AA533E" w:rsidRDefault="00AA533E">
      <w:pPr>
        <w:pStyle w:val="a9"/>
        <w:rPr>
          <w:rFonts w:ascii="Times New Roman" w:hAnsi="Times New Roman"/>
          <w:sz w:val="28"/>
          <w:szCs w:val="28"/>
        </w:rPr>
      </w:pPr>
    </w:p>
    <w:p w:rsidR="00AA533E" w:rsidRDefault="00AA533E">
      <w:pPr>
        <w:pStyle w:val="a9"/>
      </w:pPr>
    </w:p>
    <w:sectPr w:rsidR="00AA533E" w:rsidSect="00E8570D">
      <w:headerReference w:type="default" r:id="rId8"/>
      <w:pgSz w:w="11906" w:h="16838"/>
      <w:pgMar w:top="1134" w:right="630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15" w:rsidRDefault="007B5815" w:rsidP="00E8570D">
      <w:r>
        <w:separator/>
      </w:r>
    </w:p>
  </w:endnote>
  <w:endnote w:type="continuationSeparator" w:id="0">
    <w:p w:rsidR="007B5815" w:rsidRDefault="007B5815" w:rsidP="00E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1"/>
    <w:family w:val="swiss"/>
    <w:pitch w:val="variable"/>
  </w:font>
  <w:font w:name="Iosevka Term SS03">
    <w:altName w:val="Times New Roman"/>
    <w:charset w:val="01"/>
    <w:family w:val="roman"/>
    <w:pitch w:val="variable"/>
  </w:font>
  <w:font w:name="Liberation Mon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15" w:rsidRDefault="007B5815" w:rsidP="00E8570D">
      <w:r>
        <w:separator/>
      </w:r>
    </w:p>
  </w:footnote>
  <w:footnote w:type="continuationSeparator" w:id="0">
    <w:p w:rsidR="007B5815" w:rsidRDefault="007B5815" w:rsidP="00E8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8868"/>
      <w:docPartObj>
        <w:docPartGallery w:val="Page Numbers (Top of Page)"/>
        <w:docPartUnique/>
      </w:docPartObj>
    </w:sdtPr>
    <w:sdtContent>
      <w:p w:rsidR="00E8570D" w:rsidRDefault="00E857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8570D" w:rsidRDefault="00E8570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533E"/>
    <w:rsid w:val="007B5815"/>
    <w:rsid w:val="00AA533E"/>
    <w:rsid w:val="00E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WenQuanYi Micro Hei" w:hAnsi="Tempora LGC Uni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Iosevka Term SS03" w:eastAsia="Liberation Mono" w:hAnsi="Iosevka Term SS03" w:cs="Iosevka Term SS03"/>
      <w:sz w:val="20"/>
      <w:szCs w:val="20"/>
    </w:rPr>
  </w:style>
  <w:style w:type="paragraph" w:customStyle="1" w:styleId="s1">
    <w:name w:val="s_1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Cs w:val="20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E857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8570D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E857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8570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WenQuanYi Micro Hei" w:hAnsi="Tempora LGC Uni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Iosevka Term SS03" w:eastAsia="Liberation Mono" w:hAnsi="Iosevka Term SS03" w:cs="Iosevka Term SS03"/>
      <w:sz w:val="20"/>
      <w:szCs w:val="20"/>
    </w:rPr>
  </w:style>
  <w:style w:type="paragraph" w:customStyle="1" w:styleId="s1">
    <w:name w:val="s_1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Cs w:val="20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E857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8570D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E857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8570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ff9fa08d419e8a3992b637ce02f957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Александровна</dc:creator>
  <cp:lastModifiedBy>Овчинникова Ольга Александровна</cp:lastModifiedBy>
  <cp:revision>2</cp:revision>
  <cp:lastPrinted>2023-06-15T14:51:00Z</cp:lastPrinted>
  <dcterms:created xsi:type="dcterms:W3CDTF">2023-06-15T14:29:00Z</dcterms:created>
  <dcterms:modified xsi:type="dcterms:W3CDTF">2023-06-15T14:29:00Z</dcterms:modified>
  <dc:language>ru-RU</dc:language>
</cp:coreProperties>
</file>